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image1.jpeg" ContentType="image/jpeg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pBdr>
          <w:bottom w:val="single" w:sz="6" w:space="3" w:color="D6DDB9"/>
        </w:pBdr>
        <w:spacing w:before="0" w:after="0"/>
        <w:ind w:hanging="851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13780" cy="818515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1"/>
        <w:pBdr>
          <w:bottom w:val="single" w:sz="6" w:space="3" w:color="D6DDB9"/>
        </w:pBdr>
        <w:spacing w:before="0" w:after="0"/>
        <w:ind w:hanging="85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ПОЯСНИТЕЛЬНАЯ ЗАПИСКА</w:t>
      </w:r>
    </w:p>
    <w:p>
      <w:pPr>
        <w:pStyle w:val="Normal"/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Программа элективного курса составлена с учетом базовой программы Л.Л. Босовой. В программу курса включены блоки, направленные на расширение знаний и умений содержания по курсу информатики и ИКТ, а также на тренировку и отработку навыка решения тестовых заданий. Это позволит учащимся углубить знания по некоторым темам информатики, связанным с решением задач, выявить темы для дополнительного повторения.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Курс рекомендован учащимся 10-х и 11-х классов старшей школы, сдающих ЕГЭ по информатике.</w:t>
      </w:r>
    </w:p>
    <w:p>
      <w:pPr>
        <w:pStyle w:val="Normal"/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     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Цель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курса: расширение содержания среднего образования по курсу информатики в области программирования, решения сложных задач.</w:t>
      </w:r>
    </w:p>
    <w:p>
      <w:pPr>
        <w:pStyle w:val="Normal"/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Достижение поставленной цели связывается с решением следующих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задач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</w:t>
      </w:r>
    </w:p>
    <w:p>
      <w:pPr>
        <w:pStyle w:val="Normal"/>
        <w:numPr>
          <w:ilvl w:val="0"/>
          <w:numId w:val="36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изучение структуры и содержания контрольных измерительных материалов по информатике и ИКТ;</w:t>
      </w:r>
    </w:p>
    <w:p>
      <w:pPr>
        <w:pStyle w:val="Normal"/>
        <w:numPr>
          <w:ilvl w:val="0"/>
          <w:numId w:val="36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повторение методов решения тестовых заданий различного типа по основным тематическим блокам по информатике и ИКТ;</w:t>
      </w:r>
    </w:p>
    <w:p>
      <w:pPr>
        <w:pStyle w:val="Normal"/>
        <w:numPr>
          <w:ilvl w:val="0"/>
          <w:numId w:val="36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формирование умения эффективно распределять время на выполнение заданий различных типов;</w:t>
      </w:r>
    </w:p>
    <w:p>
      <w:pPr>
        <w:pStyle w:val="Normal"/>
        <w:numPr>
          <w:ilvl w:val="0"/>
          <w:numId w:val="36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формирование умения оформлять решение заданий с развернутым ответом в соответствии с требованиями инструкции по проверке.</w:t>
      </w:r>
    </w:p>
    <w:p>
      <w:pPr>
        <w:pStyle w:val="Normal"/>
        <w:numPr>
          <w:ilvl w:val="0"/>
          <w:numId w:val="36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отработка навыка решения заданий; связанных с алгоритмизацией и программированием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структуре изучаемого курса выделяются следующие три раздела:</w:t>
      </w:r>
    </w:p>
    <w:p>
      <w:pPr>
        <w:pStyle w:val="Normal"/>
        <w:numPr>
          <w:ilvl w:val="0"/>
          <w:numId w:val="28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Тематический блок «Алгоритмизация и программирование» </w:t>
      </w:r>
    </w:p>
    <w:p>
      <w:pPr>
        <w:pStyle w:val="Normal"/>
        <w:numPr>
          <w:ilvl w:val="0"/>
          <w:numId w:val="28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Тематический блок «Информация и ее кодирование»</w:t>
      </w:r>
    </w:p>
    <w:p>
      <w:pPr>
        <w:pStyle w:val="Normal"/>
        <w:numPr>
          <w:ilvl w:val="0"/>
          <w:numId w:val="28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Тематический блок «Технологии обработки информации»</w:t>
      </w:r>
    </w:p>
    <w:p>
      <w:pPr>
        <w:pStyle w:val="Normal"/>
        <w:numPr>
          <w:ilvl w:val="0"/>
          <w:numId w:val="28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ru-RU"/>
        </w:rPr>
        <w:t>«Тренинг по вариантам».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Содержание включает основные тематические блоки курса информатики и информационных технологий: «Алгоритмизация и программирование», «Информация и её кодирование», «Технологии обработки информации».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Последний раздел посвящен тренингу учащихся по вариантам, аналогичным КИМам текущего учебного года. Важным моментом данной работы является анализ полученных результатов.</w:t>
      </w:r>
    </w:p>
    <w:p>
      <w:pPr>
        <w:pStyle w:val="Normal"/>
        <w:spacing w:lineRule="auto" w:line="240" w:before="0" w:after="0"/>
        <w:ind w:firstLine="72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Требования к знаниям и умениям обучающихся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базовые механизмы обращения с внешним миром в данной операционной    среде (язык программирования, интерфейс с операционной системой);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единицы измерения информации; 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принципы кодирования;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системы счисления;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понятие алгоритма, его свойств, способов записи;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алгоритмические конструкции;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элементы программирования;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элементы математической логики;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архитектура компьютера;</w:t>
      </w:r>
    </w:p>
    <w:p>
      <w:pPr>
        <w:pStyle w:val="Normal"/>
        <w:numPr>
          <w:ilvl w:val="0"/>
          <w:numId w:val="48"/>
        </w:numPr>
        <w:spacing w:lineRule="atLeast" w:line="360" w:before="0" w:after="0"/>
        <w:ind w:left="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программное обеспечение;</w:t>
      </w:r>
    </w:p>
    <w:p>
      <w:pPr>
        <w:pStyle w:val="Normal"/>
        <w:spacing w:lineRule="atLeast" w:line="36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>
      <w:pPr>
        <w:pStyle w:val="Normal"/>
        <w:numPr>
          <w:ilvl w:val="0"/>
          <w:numId w:val="23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эффективно распределять время на выполнение заданий различных типов;</w:t>
      </w:r>
    </w:p>
    <w:p>
      <w:pPr>
        <w:pStyle w:val="Normal"/>
        <w:numPr>
          <w:ilvl w:val="0"/>
          <w:numId w:val="23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применять различные методы решения тестовых заданий различного типа по основным тематическим блокам по информатике: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подсчитывать информационный объём сообщения;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осуществлять перевод из одной системы счисления в другую;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осуществлять арифметические действия в двоичной, восьмеричной и шестнадцатеричной системах счисления;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использовать стандартные алгоритмические конструкции при программировании;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строить и преобразовывать логические выражения;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строить для логической функции таблицу истинности и логическую схему;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использовать необходимое программное обеспечение при решении задачи;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писать программы, используя следующие стандартные алгоритмы:</w:t>
      </w:r>
    </w:p>
    <w:p>
      <w:pPr>
        <w:pStyle w:val="Normal"/>
        <w:numPr>
          <w:ilvl w:val="0"/>
          <w:numId w:val="47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суммирование массива;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проверка упорядоченности массива;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слияние двух упорядоченных массивов;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сортировка (например, вставками) поиск заданной подстроки (скажем, "abc") в последовательности символов поиск корня делением пополам;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поиск наименьшего делителя целого числа;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разложение целого числа на множители (простейший алгоритм);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умножение двух многочленов;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подсчитать число символов и строк в файле;</w:t>
      </w:r>
    </w:p>
    <w:p>
      <w:pPr>
        <w:pStyle w:val="Normal"/>
        <w:numPr>
          <w:ilvl w:val="0"/>
          <w:numId w:val="34"/>
        </w:numPr>
        <w:spacing w:lineRule="atLeast" w:line="360" w:before="0" w:after="0"/>
        <w:ind w:left="0" w:firstLine="90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подсчитать число файлов в данной директории (каталоге, папке);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реализовывать сложный алгоритм с использованием современных систем программирования.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Каждое занятие тематических блоков может быть построено по следующему алгоритму:</w:t>
      </w:r>
    </w:p>
    <w:p>
      <w:pPr>
        <w:pStyle w:val="Normal"/>
        <w:numPr>
          <w:ilvl w:val="0"/>
          <w:numId w:val="42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Повторение основных методов решения заданий по теме,</w:t>
      </w:r>
    </w:p>
    <w:p>
      <w:pPr>
        <w:pStyle w:val="Normal"/>
        <w:numPr>
          <w:ilvl w:val="0"/>
          <w:numId w:val="42"/>
        </w:numPr>
        <w:spacing w:lineRule="atLeast" w:line="360" w:before="0" w:after="0"/>
        <w:ind w:left="0"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Самостоятельная работа учащихся по решению тестовых заданий с хронометражем.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  <w:r>
        <w:br w:type="page"/>
      </w:r>
    </w:p>
    <w:p>
      <w:pPr>
        <w:pStyle w:val="Normal"/>
        <w:numPr>
          <w:ilvl w:val="0"/>
          <w:numId w:val="0"/>
        </w:numPr>
        <w:pBdr>
          <w:bottom w:val="single" w:sz="6" w:space="0" w:color="D6DDB9"/>
        </w:pBdr>
        <w:spacing w:lineRule="auto" w:line="240" w:before="0" w:after="0"/>
        <w:ind w:firstLine="72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000000"/>
          <w:kern w:val="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kern w:val="2"/>
          <w:sz w:val="24"/>
          <w:szCs w:val="24"/>
          <w:lang w:eastAsia="ru-RU"/>
        </w:rPr>
        <w:t>Содержание курса</w:t>
      </w:r>
    </w:p>
    <w:p>
      <w:pPr>
        <w:pStyle w:val="Normal"/>
        <w:spacing w:lineRule="auto" w:line="240" w:before="0" w:after="0"/>
        <w:ind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Раздел 1. Тематический блок «Алгоритмизация и программирование» 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понятия, связанные с использованием основных алгоритмических конструкций. Решение задач на исполнение и анализ отдельных алгоритмов, записанных в виде блок-схемы, на алгоритмическом языке или на языках программирования. Повторение методов решения задач на составление алгоритмов для конкретного исполнителя (задание с кратким ответом) и анализ дерева игры.</w:t>
      </w:r>
    </w:p>
    <w:p>
      <w:pPr>
        <w:pStyle w:val="Normal"/>
        <w:spacing w:lineRule="auto" w:line="240" w:before="0" w:after="0"/>
        <w:ind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Решение тренировочных задач на поиск и исправление ошибок в небольшом фрагменте программы.  Решение задач средней сложности на составление собственной эффективной программы (30-50 строк).</w:t>
      </w:r>
    </w:p>
    <w:p>
      <w:pPr>
        <w:pStyle w:val="Normal"/>
        <w:spacing w:lineRule="auto" w:line="240" w:before="0" w:after="0"/>
        <w:ind w:firstLine="720"/>
        <w:rPr/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Раздел 2. </w:t>
      </w:r>
      <w:r>
        <w:rPr>
          <w:rFonts w:eastAsia="Times New Roman" w:cs="Times New Roman" w:ascii="Times New Roman" w:hAnsi="Times New Roman"/>
          <w:b/>
          <w:i/>
          <w:color w:val="000000"/>
          <w:sz w:val="24"/>
          <w:szCs w:val="24"/>
          <w:lang w:eastAsia="ru-RU"/>
        </w:rPr>
        <w:t>Тематический блок «Информация и ее кодирование»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Решение задач по измерению, кодированию информации. Системы счисления, разные виды информации и их хранение их в компьютере. Повторение методов решения задач по теме. Решение тренировочных задач на измерение количества информации (вероятностный подход), кодирование текстовой информации и измерение ее информационного объема, кодирование графической информации и измерение ее информационного объема, кодирование звуковой информации и измерение ее информационного объема, умение кодировать и декодировать информацию.</w:t>
      </w:r>
    </w:p>
    <w:p>
      <w:pPr>
        <w:pStyle w:val="Normal"/>
        <w:spacing w:lineRule="auto" w:line="240" w:before="0" w:after="0"/>
        <w:ind w:firstLine="720"/>
        <w:rPr/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Раздел 3. </w:t>
      </w:r>
      <w:r>
        <w:rPr>
          <w:rFonts w:eastAsia="Times New Roman" w:cs="Times New Roman" w:ascii="Times New Roman" w:hAnsi="Times New Roman"/>
          <w:b/>
          <w:i/>
          <w:color w:val="000000"/>
          <w:sz w:val="24"/>
          <w:szCs w:val="24"/>
          <w:lang w:eastAsia="ru-RU"/>
        </w:rPr>
        <w:t>Тематический блок «Технологии обработки информации»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понятия классификации программного обеспечения, свойств и функциональных возможностей основных видов программного обеспечения, структуры файловой системы, включая правила именования каталогов и файлов. Решение тренировочных задач по теме.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 правила адресации ячеек в электронной таблице. Понятие абсолютной и относительной адресации. Решение тренировочных задач на представление числовых данных в виде диаграмм.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Повторение принципов организации табличных (реляционных) баз данных и основных понятий: «таблица», «запись таблицы», «поле записи», «значение поля», а также технологии хранения, поиска и сортировки информации в БД.  Решение тренировочных задач на отбор (поиск) записей по некоторым условиям и их сортировка.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Технология адресации и поиска информации в Интернете.</w:t>
      </w:r>
    </w:p>
    <w:p>
      <w:pPr>
        <w:pStyle w:val="Normal"/>
        <w:spacing w:lineRule="auto" w:line="240" w:before="0" w:after="0"/>
        <w:ind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Раздел 4.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«Основы логики» 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Основные понятия и определения (таблицы истинности) трех основных логических операций (инверсия, конъюнкция, дизъюнкция), а также импликации. Повторение методов решения задач по теме. Решение тренировочных задач на построение и преобразование логических выражений, построение таблиц истинности, построение логических схем. Решение логических задач на применение основных законов логики при работе с логическими выражениями.</w:t>
      </w:r>
    </w:p>
    <w:p>
      <w:pPr>
        <w:pStyle w:val="Normal"/>
        <w:spacing w:lineRule="auto" w:line="240" w:before="0" w:after="0"/>
        <w:ind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Раздел 5. «Тренинг по вариантам» </w:t>
      </w:r>
    </w:p>
    <w:p>
      <w:pPr>
        <w:sectPr>
          <w:footerReference w:type="default" r:id="rId3"/>
          <w:footerReference w:type="first" r:id="rId4"/>
          <w:type w:val="nextPage"/>
          <w:pgSz w:w="11906" w:h="16838"/>
          <w:pgMar w:left="1418" w:right="851" w:gutter="0" w:header="0" w:top="1134" w:footer="417" w:bottom="1134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lineRule="auto" w:line="240" w:before="0" w:after="0"/>
        <w:ind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Выполнение тренировочных заданий части А, В и С. Проведение пробного ЕГЭ с последующим разбором результатов.</w:t>
      </w:r>
    </w:p>
    <w:p>
      <w:pPr>
        <w:pStyle w:val="Normal"/>
        <w:spacing w:lineRule="auto" w:line="240" w:before="0" w:after="0"/>
        <w:ind w:firstLine="72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Тематический план</w:t>
      </w:r>
    </w:p>
    <w:tbl>
      <w:tblPr>
        <w:tblW w:w="9635" w:type="dxa"/>
        <w:jc w:val="left"/>
        <w:tblInd w:w="-132" w:type="dxa"/>
        <w:tblLayout w:type="fixed"/>
        <w:tblCellMar>
          <w:top w:w="0" w:type="dxa"/>
          <w:left w:w="116" w:type="dxa"/>
          <w:bottom w:w="0" w:type="dxa"/>
          <w:right w:w="116" w:type="dxa"/>
        </w:tblCellMar>
      </w:tblPr>
      <w:tblGrid>
        <w:gridCol w:w="4532"/>
        <w:gridCol w:w="2268"/>
        <w:gridCol w:w="2835"/>
      </w:tblGrid>
      <w:tr>
        <w:trPr>
          <w:trHeight w:val="567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4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>
        <w:trPr>
          <w:trHeight w:val="260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Тематический блок «Алгоритмизация и программирование»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500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Тематический блок «Информация и ее кодирование»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520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Тематический блок «Технологии обработки информации»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520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Тематический блок «Основы логики»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520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5. 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«Тренинг по вариантам».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тестирование</w:t>
            </w:r>
          </w:p>
        </w:tc>
      </w:tr>
      <w:tr>
        <w:trPr>
          <w:trHeight w:val="520" w:hRule="atLeast"/>
        </w:trPr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right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ind w:firstLine="72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2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Каледарно-тематический план</w:t>
      </w:r>
    </w:p>
    <w:tbl>
      <w:tblPr>
        <w:tblW w:w="9455" w:type="dxa"/>
        <w:jc w:val="left"/>
        <w:tblInd w:w="48" w:type="dxa"/>
        <w:tblLayout w:type="fixed"/>
        <w:tblCellMar>
          <w:top w:w="0" w:type="dxa"/>
          <w:left w:w="116" w:type="dxa"/>
          <w:bottom w:w="0" w:type="dxa"/>
          <w:right w:w="116" w:type="dxa"/>
        </w:tblCellMar>
      </w:tblPr>
      <w:tblGrid>
        <w:gridCol w:w="556"/>
        <w:gridCol w:w="816"/>
        <w:gridCol w:w="719"/>
        <w:gridCol w:w="3679"/>
        <w:gridCol w:w="1276"/>
        <w:gridCol w:w="2409"/>
      </w:tblGrid>
      <w:tr>
        <w:trPr>
          <w:trHeight w:val="182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урока в теме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Тема   урока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108" w:right="-84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>
        <w:trPr>
          <w:trHeight w:val="160" w:hRule="atLeast"/>
        </w:trPr>
        <w:tc>
          <w:tcPr>
            <w:tcW w:w="94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блок «Алгоритмизация и программирование»</w:t>
            </w:r>
          </w:p>
        </w:tc>
      </w:tr>
      <w:tr>
        <w:trPr>
          <w:trHeight w:val="5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0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Алгоритмы. Виды алгоритмов, представление алгоритмов. Формальное исполнение алгоритмов. Выполнение алгоритмов исполнителями.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2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5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7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Поиск алгоритма минимальной длины для исполнителя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16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0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8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Анализ алгоритма построения последовательности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1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2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Использование основных алгоритмических конструкций: следование, ветвление, цикл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9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6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Блок-схемы алгоритмов. Переменные, присваивание значений. Ветвления. Организация циклов с помощью блока «ветвление»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2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4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3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Работа с массивами и матрицами в языке программирования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2"/>
              </w:numPr>
              <w:snapToGrid w:val="false"/>
              <w:spacing w:lineRule="auto" w:line="240" w:before="0" w:after="0"/>
              <w:ind w:left="0" w:firstLine="90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 «Алгоритмизация и программирование»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right="-10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32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7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hd w:fill="FFFFFF" w:val="clear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Алгоритмы для формальных исполнителей.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94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блок «Информация и ее кодирование»</w:t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0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Свойства информации. Этические и правовые нормы информационной деятельности. Защита информации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3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Кодирование информации. Представление текстовой информации. Кодировка ASCII, Unicode. Основные используемые кодировки кириллицы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6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Представление графической и звуковой информации в компьютере. Определение объема графического сообщения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0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Позиционные и непозиционные системы счисления. Базис. Алфавит. Основание. Двоичное кодирование и компьютер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1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Перевод целых чисел Р-ичной СС в десятичную. Перевод целых чисел из десятичной СС в Р-ичную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5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Перевод конечной Р-ичной дроби в десятичную. Перевод конечной десятичной дроби в Р-ичную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1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Арифметические действия в позиционных 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8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1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 «Информация и ее кодирование»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left="-10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380" w:hRule="atLeast"/>
        </w:trPr>
        <w:tc>
          <w:tcPr>
            <w:tcW w:w="94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блок «Технологии обработки информации»</w:t>
            </w:r>
          </w:p>
        </w:tc>
      </w:tr>
      <w:tr>
        <w:trPr>
          <w:trHeight w:val="5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9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Процесс передачи информации, источник и приемник информации. Сигнал, кодирование и декодирование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6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Скорость передачи информации и пропускная способность канала передачи. Компьютерные сети. Адресация в Интернете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9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Анализ информационных моделей. Использование информационных моделей (таблицы, диаграммы, графики)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2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7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Файловая система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2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24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Структура базы данных (записи и поля). Сортировка и поиск в базах данных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26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8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Адресация в электронных таблицах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Анализ диаграмм в электронных таблицах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5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 «Технологии обработки информации»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left="-10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300" w:hRule="atLeast"/>
        </w:trPr>
        <w:tc>
          <w:tcPr>
            <w:tcW w:w="94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блок «Основы логики»</w:t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математической логики. Логические высказывания, операции, законы. Упрощение логических выражений. Формулы де Моргана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8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Построение таблиц истинности логических выражений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7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Расчет количества возможных вариантов (комбинаторика). Преобразование логических выражений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33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Решение логических задач методом рассуждений. Построение и преобразование логических выражений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4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запросов для поисковых систем с использованием логических выражений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numPr>
                <w:ilvl w:val="0"/>
                <w:numId w:val="15"/>
              </w:numPr>
              <w:snapToGrid w:val="false"/>
              <w:spacing w:lineRule="auto" w:line="240" w:before="0" w:after="0"/>
              <w:ind w:left="360" w:hanging="3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 «Основы логики»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left="-108" w:right="-10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>
        <w:trPr>
          <w:trHeight w:val="280" w:hRule="atLeast"/>
        </w:trPr>
        <w:tc>
          <w:tcPr>
            <w:tcW w:w="94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Тренинг по вариантам</w:t>
            </w:r>
          </w:p>
        </w:tc>
      </w:tr>
      <w:tr>
        <w:trPr>
          <w:trHeight w:val="540" w:hRule="atLeast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right="-10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31-34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Решение тестов и задач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</w:tbl>
    <w:p>
      <w:pPr>
        <w:sectPr>
          <w:footerReference w:type="default" r:id="rId5"/>
          <w:footerReference w:type="first" r:id="rId6"/>
          <w:type w:val="nextPage"/>
          <w:pgSz w:w="11906" w:h="16838"/>
          <w:pgMar w:left="1418" w:right="851" w:gutter="0" w:header="0" w:top="1134" w:footer="417" w:bottom="1134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Normal"/>
        <w:numPr>
          <w:ilvl w:val="0"/>
          <w:numId w:val="0"/>
        </w:numPr>
        <w:pBdr>
          <w:bottom w:val="single" w:sz="6" w:space="0" w:color="D6DDB9"/>
        </w:pBdr>
        <w:spacing w:lineRule="auto" w:line="360" w:before="0" w:after="0"/>
        <w:ind w:firstLine="72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kern w:val="2"/>
          <w:sz w:val="24"/>
          <w:szCs w:val="24"/>
          <w:lang w:eastAsia="ru-RU"/>
        </w:rPr>
        <w:t>СПИСОК ЛИТЕРАТУРЫ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/>
      </w:pPr>
      <w:hyperlink r:id="rId7">
        <w:r>
          <w:rPr>
            <w:rStyle w:val="InternetLink"/>
            <w:rFonts w:eastAsia="Times New Roman" w:cs="Times New Roman" w:ascii="Times New Roman" w:hAnsi="Times New Roman"/>
            <w:sz w:val="24"/>
            <w:szCs w:val="24"/>
            <w:lang w:eastAsia="ru-RU"/>
          </w:rPr>
          <w:t>http://books.kulichki.ru/data/pascal/pas1/ 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Полный обучающий курс Турбо Паскаль.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/>
      </w:pPr>
      <w:hyperlink r:id="rId8">
        <w:r>
          <w:rPr>
            <w:rStyle w:val="InternetLink"/>
            <w:rFonts w:eastAsia="Times New Roman" w:cs="Times New Roman" w:ascii="Times New Roman" w:hAnsi="Times New Roman"/>
            <w:sz w:val="24"/>
            <w:szCs w:val="24"/>
            <w:lang w:eastAsia="ru-RU"/>
          </w:rPr>
          <w:t>http://ips.ifmo.ru/courses/pascal/ 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Курс лекций «Язык программирования Pascal».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/>
      </w:pPr>
      <w:hyperlink r:id="rId9">
        <w:r>
          <w:rPr>
            <w:rStyle w:val="InternetLink"/>
            <w:rFonts w:eastAsia="Times New Roman" w:cs="Times New Roman" w:ascii="Times New Roman" w:hAnsi="Times New Roman"/>
            <w:sz w:val="24"/>
            <w:szCs w:val="24"/>
            <w:lang w:eastAsia="ru-RU"/>
          </w:rPr>
          <w:t>http://www.gmcit.murmansk.ru/text/information_science/profile/methodic/pascal/pascal.html 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- 40 уроков по Pascal 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http://www.openclass.ru/node/15179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Готовимся  к ЕГЭ по информатике. Элективный курс: учебное пособие/ Самылкина Н.Н. и др. – М.: БИНОМ. Лаборатория знаний, 2008. – 298 с.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Житкова О.А., Кудрявцева Е.К. Алгоритмы и основы программирования. М.: «Интеллект-центр», 2001.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Житкова О.А., Кудрявцева Е.К. Справочные материалы по программированию на языке Pascal . М.: «Интеллект-центр», 2001.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Златопольский Д.М. Я иду на урок информатики. М.: «Первое сентября», 2001.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Информатика и ИКТ. Подготовка к ЕГЭ/ Под ред. проф. Н.В.Макаровой. – СПб.: Питер, 2007. – 160 с.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ИНФОРМАТИКА. ЕГЭ-это очень просто!/ Молодцов В.А. - М., Феникс, 2008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Самое полное издание типовых вариантов заданий ЕГЭ: 2010: ИНФОРМАТИКА/ Авт.-сост. П.А. Якушкин, Д.М.Ушаков. – М.: АСТ: Астрель, 2010.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Самое полное издание типовых вариантов заданий ЕГЭ: 2011: ИНФОРМАТИКА/ Авт.-сост. П.А. Якушкин, Д.М.Ушаков. – М.: АСТ: Астрель, 2011.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Тимофеевская М. Изучаем программирование. Санкт-Петербург, «Питер», 2002.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0" w:hanging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Ушаков Д.М., Юркова Т.А. Паскаль для школьников. – СПб.: Питер, 2006. – 256 с.: ил.</w:t>
      </w:r>
    </w:p>
    <w:p>
      <w:pPr>
        <w:pStyle w:val="Normal"/>
        <w:spacing w:lineRule="auto" w:line="360" w:before="0" w:after="0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pBdr>
          <w:bottom w:val="single" w:sz="6" w:space="0" w:color="D6DDB9"/>
        </w:pBdr>
        <w:spacing w:lineRule="auto" w:line="360" w:before="0" w:after="0"/>
        <w:ind w:firstLine="72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4"/>
          <w:szCs w:val="24"/>
          <w:lang w:eastAsia="ru-RU"/>
        </w:rPr>
        <w:t>СПИСОК ИНТЕРНЕТ-РЕСУРСОВ  ПО ПОДГОТОВКЕ К ЕГЭ</w:t>
      </w:r>
    </w:p>
    <w:p>
      <w:pPr>
        <w:pStyle w:val="Normal"/>
        <w:numPr>
          <w:ilvl w:val="0"/>
          <w:numId w:val="12"/>
        </w:numPr>
        <w:spacing w:lineRule="auto" w:line="360" w:before="0" w:after="0"/>
        <w:ind w:left="0"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URL: </w:t>
      </w:r>
      <w:hyperlink r:id="rId10">
        <w:r>
          <w:rPr>
            <w:rStyle w:val="InternetLink"/>
            <w:rFonts w:eastAsia="Times New Roman" w:cs="Times New Roman" w:ascii="Times New Roman" w:hAnsi="Times New Roman"/>
            <w:sz w:val="24"/>
            <w:szCs w:val="24"/>
            <w:lang w:eastAsia="ru-RU"/>
          </w:rPr>
          <w:t>http://www.fipi.ru/</w:t>
        </w:r>
      </w:hyperlink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 </w:t>
      </w:r>
    </w:p>
    <w:p>
      <w:pPr>
        <w:pStyle w:val="Normal"/>
        <w:spacing w:lineRule="auto" w:line="360"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Владелец сайта: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Официальный сайт Федерального института педагогических измерений</w:t>
      </w:r>
    </w:p>
    <w:p>
      <w:pPr>
        <w:pStyle w:val="Normal"/>
        <w:spacing w:lineRule="auto" w:line="360"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Полезная информация: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контрольные измерительные материалы (КИМ) разных лет, доступ к открытому сегменту ФБТЗ, материалы конференций и семинаров, отчеты ФИПИ, методические письма по преподаванию предметов с учётом результатов ЕГЭ, проект КИМов ЕГЭ для 9 кл.</w:t>
      </w:r>
    </w:p>
    <w:p>
      <w:pPr>
        <w:pStyle w:val="Normal"/>
        <w:numPr>
          <w:ilvl w:val="0"/>
          <w:numId w:val="19"/>
        </w:numPr>
        <w:spacing w:lineRule="auto" w:line="360" w:before="0" w:after="0"/>
        <w:ind w:left="0"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URL: </w:t>
      </w:r>
      <w:hyperlink r:id="rId11">
        <w:r>
          <w:rPr>
            <w:rStyle w:val="InternetLink"/>
            <w:rFonts w:eastAsia="Times New Roman" w:cs="Times New Roman" w:ascii="Times New Roman" w:hAnsi="Times New Roman"/>
            <w:sz w:val="24"/>
            <w:szCs w:val="24"/>
            <w:lang w:eastAsia="ru-RU"/>
          </w:rPr>
          <w:t> http://www.gosekzamen.ru/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, Российский образовательный портал Госэкзамен.ру.  </w:t>
      </w:r>
    </w:p>
    <w:sectPr>
      <w:footerReference w:type="default" r:id="rId12"/>
      <w:footerReference w:type="first" r:id="rId13"/>
      <w:type w:val="nextPage"/>
      <w:pgSz w:w="11906" w:h="16838"/>
      <w:pgMar w:left="1418" w:right="851" w:gutter="0" w:header="0" w:top="1134" w:footer="417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Courier New">
    <w:charset w:val="cc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  <w:p>
    <w:pPr>
      <w:pStyle w:val="Footer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Footer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pStyle w:val="Heading3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Heading1">
    <w:name w:val="Heading 1"/>
    <w:basedOn w:val="Normal"/>
    <w:next w:val="TextBody"/>
    <w:qFormat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uppressAutoHyphens w:val="true"/>
      <w:spacing w:lineRule="auto" w:line="360" w:before="0" w:after="0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TextBody"/>
    <w:qFormat/>
    <w:pPr>
      <w:spacing w:lineRule="auto" w:line="240" w:before="280" w:after="280"/>
      <w:outlineLvl w:val="4"/>
    </w:pPr>
    <w:rPr>
      <w:rFonts w:ascii="Times New Roman" w:hAnsi="Times New Roman" w:eastAsia="Times New Roman" w:cs="Times New Roman"/>
      <w:b/>
      <w:bCs/>
      <w:sz w:val="20"/>
      <w:szCs w:val="20"/>
    </w:rPr>
  </w:style>
  <w:style w:type="character" w:styleId="WW8Num23z0">
    <w:name w:val="WW8Num23z0"/>
    <w:qFormat/>
    <w:rPr>
      <w:rFonts w:ascii="Symbol" w:hAnsi="Symbol" w:cs="Symbol"/>
      <w:sz w:val="20"/>
    </w:rPr>
  </w:style>
  <w:style w:type="character" w:styleId="WW8Num23z1">
    <w:name w:val="WW8Num23z1"/>
    <w:qFormat/>
    <w:rPr>
      <w:rFonts w:ascii="Courier New" w:hAnsi="Courier New" w:cs="Courier New"/>
      <w:sz w:val="20"/>
    </w:rPr>
  </w:style>
  <w:style w:type="character" w:styleId="WW8Num23z2">
    <w:name w:val="WW8Num23z2"/>
    <w:qFormat/>
    <w:rPr>
      <w:rFonts w:ascii="Wingdings" w:hAnsi="Wingdings" w:cs="Wingdings"/>
      <w:sz w:val="20"/>
    </w:rPr>
  </w:style>
  <w:style w:type="character" w:styleId="WW8Num28z0">
    <w:name w:val="WW8Num28z0"/>
    <w:qFormat/>
    <w:rPr>
      <w:rFonts w:ascii="Symbol" w:hAnsi="Symbol" w:cs="Symbol"/>
      <w:sz w:val="20"/>
    </w:rPr>
  </w:style>
  <w:style w:type="character" w:styleId="WW8Num28z1">
    <w:name w:val="WW8Num28z1"/>
    <w:qFormat/>
    <w:rPr>
      <w:rFonts w:ascii="Courier New" w:hAnsi="Courier New" w:cs="Courier New"/>
      <w:sz w:val="20"/>
    </w:rPr>
  </w:style>
  <w:style w:type="character" w:styleId="WW8Num28z2">
    <w:name w:val="WW8Num28z2"/>
    <w:qFormat/>
    <w:rPr>
      <w:rFonts w:ascii="Wingdings" w:hAnsi="Wingdings" w:cs="Wingdings"/>
      <w:sz w:val="20"/>
    </w:rPr>
  </w:style>
  <w:style w:type="character" w:styleId="WW8Num34z0">
    <w:name w:val="WW8Num34z0"/>
    <w:qFormat/>
    <w:rPr>
      <w:rFonts w:ascii="Symbol" w:hAnsi="Symbol" w:cs="Symbol"/>
      <w:sz w:val="20"/>
    </w:rPr>
  </w:style>
  <w:style w:type="character" w:styleId="WW8Num34z1">
    <w:name w:val="WW8Num34z1"/>
    <w:qFormat/>
    <w:rPr>
      <w:rFonts w:ascii="Courier New" w:hAnsi="Courier New" w:cs="Courier New"/>
      <w:sz w:val="20"/>
    </w:rPr>
  </w:style>
  <w:style w:type="character" w:styleId="WW8Num34z2">
    <w:name w:val="WW8Num34z2"/>
    <w:qFormat/>
    <w:rPr>
      <w:rFonts w:ascii="Wingdings" w:hAnsi="Wingdings" w:cs="Wingdings"/>
      <w:sz w:val="20"/>
    </w:rPr>
  </w:style>
  <w:style w:type="character" w:styleId="WW8Num36z0">
    <w:name w:val="WW8Num36z0"/>
    <w:qFormat/>
    <w:rPr>
      <w:rFonts w:ascii="Symbol" w:hAnsi="Symbol" w:cs="Symbol"/>
      <w:sz w:val="20"/>
    </w:rPr>
  </w:style>
  <w:style w:type="character" w:styleId="WW8Num36z1">
    <w:name w:val="WW8Num36z1"/>
    <w:qFormat/>
    <w:rPr>
      <w:rFonts w:ascii="Courier New" w:hAnsi="Courier New" w:cs="Courier New"/>
      <w:sz w:val="20"/>
    </w:rPr>
  </w:style>
  <w:style w:type="character" w:styleId="WW8Num36z2">
    <w:name w:val="WW8Num36z2"/>
    <w:qFormat/>
    <w:rPr>
      <w:rFonts w:ascii="Wingdings" w:hAnsi="Wingdings" w:cs="Wingdings"/>
      <w:sz w:val="20"/>
    </w:rPr>
  </w:style>
  <w:style w:type="character" w:styleId="WW8Num47z0">
    <w:name w:val="WW8Num47z0"/>
    <w:qFormat/>
    <w:rPr>
      <w:rFonts w:ascii="Symbol" w:hAnsi="Symbol" w:cs="Symbol"/>
      <w:sz w:val="20"/>
    </w:rPr>
  </w:style>
  <w:style w:type="character" w:styleId="WW8Num47z1">
    <w:name w:val="WW8Num47z1"/>
    <w:qFormat/>
    <w:rPr>
      <w:rFonts w:ascii="Courier New" w:hAnsi="Courier New" w:cs="Courier New"/>
      <w:sz w:val="20"/>
    </w:rPr>
  </w:style>
  <w:style w:type="character" w:styleId="WW8Num47z2">
    <w:name w:val="WW8Num47z2"/>
    <w:qFormat/>
    <w:rPr>
      <w:rFonts w:ascii="Wingdings" w:hAnsi="Wingdings" w:cs="Wingdings"/>
      <w:sz w:val="20"/>
    </w:rPr>
  </w:style>
  <w:style w:type="character" w:styleId="WW8Num48z0">
    <w:name w:val="WW8Num48z0"/>
    <w:qFormat/>
    <w:rPr>
      <w:rFonts w:ascii="Symbol" w:hAnsi="Symbol" w:cs="Symbol"/>
      <w:sz w:val="20"/>
    </w:rPr>
  </w:style>
  <w:style w:type="character" w:styleId="WW8Num48z1">
    <w:name w:val="WW8Num48z1"/>
    <w:qFormat/>
    <w:rPr>
      <w:rFonts w:ascii="Courier New" w:hAnsi="Courier New" w:cs="Courier New"/>
      <w:sz w:val="20"/>
    </w:rPr>
  </w:style>
  <w:style w:type="character" w:styleId="WW8Num48z2">
    <w:name w:val="WW8Num48z2"/>
    <w:qFormat/>
    <w:rPr>
      <w:rFonts w:ascii="Wingdings" w:hAnsi="Wingdings" w:cs="Wingdings"/>
      <w:sz w:val="20"/>
    </w:rPr>
  </w:style>
  <w:style w:type="character" w:styleId="Style11">
    <w:name w:val="Основной шрифт абзаца"/>
    <w:qFormat/>
    <w:rPr/>
  </w:style>
  <w:style w:type="character" w:styleId="Style12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3">
    <w:name w:val="Верхний колонтитул Знак"/>
    <w:basedOn w:val="Style11"/>
    <w:qFormat/>
    <w:rPr/>
  </w:style>
  <w:style w:type="character" w:styleId="Style14">
    <w:name w:val="Нижний колонтитул Знак"/>
    <w:basedOn w:val="Style11"/>
    <w:qFormat/>
    <w:rPr/>
  </w:style>
  <w:style w:type="character" w:styleId="StrongEmphasis">
    <w:name w:val="Strong"/>
    <w:qFormat/>
    <w:rPr>
      <w:b/>
      <w:bCs/>
    </w:rPr>
  </w:style>
  <w:style w:type="character" w:styleId="1">
    <w:name w:val="Заголовок 1 Знак"/>
    <w:qFormat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5">
    <w:name w:val="Заголовок 5 Знак"/>
    <w:qFormat/>
    <w:rPr>
      <w:rFonts w:ascii="Times New Roman" w:hAnsi="Times New Roman" w:eastAsia="Times New Roman" w:cs="Times New Roman"/>
      <w:b/>
      <w:bCs/>
      <w:sz w:val="20"/>
      <w:szCs w:val="20"/>
    </w:rPr>
  </w:style>
  <w:style w:type="character" w:styleId="C29">
    <w:name w:val="c29"/>
    <w:basedOn w:val="Style11"/>
    <w:qFormat/>
    <w:rPr/>
  </w:style>
  <w:style w:type="character" w:styleId="C2">
    <w:name w:val="c2"/>
    <w:basedOn w:val="Style11"/>
    <w:qFormat/>
    <w:rPr/>
  </w:style>
  <w:style w:type="character" w:styleId="InternetLink">
    <w:name w:val="Hyperlink"/>
    <w:rPr>
      <w:color w:val="0000FF"/>
      <w:u w:val="single"/>
    </w:rPr>
  </w:style>
  <w:style w:type="character" w:styleId="C7">
    <w:name w:val="c7"/>
    <w:basedOn w:val="Style11"/>
    <w:qFormat/>
    <w:rPr/>
  </w:style>
  <w:style w:type="character" w:styleId="C1">
    <w:name w:val="c1"/>
    <w:basedOn w:val="Style11"/>
    <w:qFormat/>
    <w:rPr/>
  </w:style>
  <w:style w:type="character" w:styleId="C58">
    <w:name w:val="c58"/>
    <w:basedOn w:val="Style11"/>
    <w:qFormat/>
    <w:rPr/>
  </w:style>
  <w:style w:type="character" w:styleId="C40">
    <w:name w:val="c40"/>
    <w:basedOn w:val="Style11"/>
    <w:qFormat/>
    <w:rPr/>
  </w:style>
  <w:style w:type="character" w:styleId="C44">
    <w:name w:val="c44"/>
    <w:basedOn w:val="Style11"/>
    <w:qFormat/>
    <w:rPr/>
  </w:style>
  <w:style w:type="character" w:styleId="Text">
    <w:name w:val="text"/>
    <w:basedOn w:val="Style11"/>
    <w:qFormat/>
    <w:rPr/>
  </w:style>
  <w:style w:type="character" w:styleId="3">
    <w:name w:val="Заголовок 3 Знак"/>
    <w:qFormat/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5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6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17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pacing w:lineRule="auto" w:line="240" w:before="0" w:after="0"/>
    </w:pPr>
    <w:rPr/>
  </w:style>
  <w:style w:type="paragraph" w:styleId="Footer">
    <w:name w:val="Footer"/>
    <w:basedOn w:val="Normal"/>
    <w:pPr>
      <w:spacing w:lineRule="auto" w:line="240" w:before="0" w:after="0"/>
    </w:pPr>
    <w:rPr/>
  </w:style>
  <w:style w:type="paragraph" w:styleId="C12">
    <w:name w:val="c12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19">
    <w:name w:val="c19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26">
    <w:name w:val="c2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35">
    <w:name w:val="c35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8">
    <w:name w:val="c8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16">
    <w:name w:val="c1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14">
    <w:name w:val="c14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yperlink" Target="https://www.google.com/url?q=http://books.kulichki.ru/data/pascal/pas1/&amp;sa=D&amp;ust=1459532352853000&amp;usg=AFQjCNGDDEe44IlKlulu1vEAQ6zK8Gkmxg" TargetMode="External"/><Relationship Id="rId8" Type="http://schemas.openxmlformats.org/officeDocument/2006/relationships/hyperlink" Target="https://www.google.com/url?q=http://ips.ifmo.ru/courses/pascal/&amp;sa=D&amp;ust=1459532352854000&amp;usg=AFQjCNEdfpIKY4wrf20o4D9Kq2fpEFt2Dg" TargetMode="External"/><Relationship Id="rId9" Type="http://schemas.openxmlformats.org/officeDocument/2006/relationships/hyperlink" Target="https://www.google.com/url?q=http://www.gmcit.murmansk.ru/text/information_science/profile/methodic/pascal/pascal.html&amp;sa=D&amp;ust=1459532352855000&amp;usg=AFQjCNE-1aQhqNomX9pzXNxqUSxz2dV4Rg" TargetMode="External"/><Relationship Id="rId10" Type="http://schemas.openxmlformats.org/officeDocument/2006/relationships/hyperlink" Target="https://www.google.com/url?q=http://www.fipi.ru/&amp;sa=D&amp;ust=1459532352889000&amp;usg=AFQjCNHh5A4hg5foFetoujmbUajBkTo1zw" TargetMode="External"/><Relationship Id="rId11" Type="http://schemas.openxmlformats.org/officeDocument/2006/relationships/hyperlink" Target="https://nsportal.ru/shkola/informatika-i-ikt/library/2016/04/01/rabochaya-programma-elektivnogo-kursa-gotovimsya-k-ege" TargetMode="Externa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LibreOffice/7.4.6.2$Linux_X86_64 LibreOffice_project/40$Build-2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2020-11-12T09:56:00Z</dcterms:created>
  <dc:creator>учитель</dc:creator>
  <dc:description/>
  <cp:keywords/>
  <dc:language>en-US</dc:language>
  <cp:lastModifiedBy>Учитель</cp:lastModifiedBy>
  <cp:lastPrinted>2019-03-14T01:29:00Z</cp:lastPrinted>
  <dcterms:modified xsi:type="dcterms:W3CDTF">2023-10-21T11:54:00Z</dcterms:modified>
  <cp:revision>4</cp:revision>
  <dc:subject/>
  <dc:title/>
</cp:coreProperties>
</file>